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ASSITEJ APPLAUSE FOR LIFETIME ACHIEVEMENT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Official Nomination Form –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Nominating centre  / network: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Contact person: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Country: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Nominee: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City: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Country: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 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List of nominating materials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Official ASSITEJ Nomination Form (this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Nomination Statement (a description of why this individual is nominated and what their particular contribution has been; no more than 400 words in length), and a 150-word citation, summarizing the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A full biography of the nominee.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 A short video (no longer than 5 minutes/not professional) should be made to present the candidate and should contain testimonial support for the nomination from several people.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Support material for the nomination can be included. This may be articles, interviews, publications or links to works. </w:t>
      </w:r>
      <w:r w:rsidDel="00000000" w:rsidR="00000000" w:rsidRPr="00000000">
        <w:rPr>
          <w:rFonts w:ascii="Arial" w:cs="Arial" w:eastAsia="Arial" w:hAnsi="Arial"/>
          <w:rtl w:val="0"/>
        </w:rPr>
        <w:t xml:space="preserve">A maximum of six.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All these materials must be received by the General Secretariat of ASSITEJ by November 1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application should be sent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ASSITEJ Secretariat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Louis 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Secretary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sg@assitej-international.org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322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975360" cy="13893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" cy="1389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g@assitej-internationa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yBLJudCsdJ/efMtiO6PhHHwew==">AMUW2mUbtyU18XchtC/VDdgIzMuf0ZRYV+Nd2SoKzxGkiCp6qPN3En71MUnVj2WhZ4wb77fsBmTQ43Ce3RxX1+pqCBVbXEVnzi0grb8RqAtoXRqFzRRFDUg=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